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" w:lineRule="atLeast"/>
      </w:pPr>
      <w:r>
        <w:rPr>
          <w:rFonts w:ascii="StobiSerif Regular" w:hAnsi="StobiSerif Regular" w:eastAsia="Times New Roman" w:cs="StobiSerif Regular"/>
          <w:sz w:val="22"/>
          <w:szCs w:val="22"/>
          <w:lang w:eastAsia="ar-SA"/>
        </w:rPr>
        <w:t xml:space="preserve">Образец „ДЕ“      </w:t>
      </w:r>
      <w:r>
        <w:rPr>
          <w:rFonts w:ascii="StobiSerif Regular" w:hAnsi="StobiSerif Regular" w:eastAsia="Times New Roman" w:cs="StobiSerif Regular"/>
          <w:lang w:eastAsia="ar-SA"/>
        </w:rPr>
        <w:t xml:space="preserve">  </w:t>
      </w:r>
    </w:p>
    <w:tbl>
      <w:tblPr>
        <w:tblStyle w:val="3"/>
        <w:tblW w:w="11221" w:type="dxa"/>
        <w:tblInd w:w="-4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121"/>
        <w:gridCol w:w="201"/>
        <w:gridCol w:w="152"/>
        <w:gridCol w:w="171"/>
        <w:gridCol w:w="182"/>
        <w:gridCol w:w="141"/>
        <w:gridCol w:w="212"/>
        <w:gridCol w:w="43"/>
        <w:gridCol w:w="310"/>
        <w:gridCol w:w="287"/>
        <w:gridCol w:w="328"/>
        <w:gridCol w:w="91"/>
        <w:gridCol w:w="233"/>
        <w:gridCol w:w="119"/>
        <w:gridCol w:w="205"/>
        <w:gridCol w:w="147"/>
        <w:gridCol w:w="177"/>
        <w:gridCol w:w="175"/>
        <w:gridCol w:w="236"/>
        <w:gridCol w:w="138"/>
        <w:gridCol w:w="257"/>
        <w:gridCol w:w="98"/>
        <w:gridCol w:w="157"/>
        <w:gridCol w:w="215"/>
        <w:gridCol w:w="194"/>
        <w:gridCol w:w="159"/>
        <w:gridCol w:w="236"/>
        <w:gridCol w:w="119"/>
        <w:gridCol w:w="288"/>
        <w:gridCol w:w="81"/>
        <w:gridCol w:w="314"/>
        <w:gridCol w:w="43"/>
        <w:gridCol w:w="332"/>
        <w:gridCol w:w="43"/>
        <w:gridCol w:w="322"/>
        <w:gridCol w:w="80"/>
        <w:gridCol w:w="274"/>
        <w:gridCol w:w="121"/>
        <w:gridCol w:w="236"/>
        <w:gridCol w:w="159"/>
        <w:gridCol w:w="197"/>
        <w:gridCol w:w="198"/>
        <w:gridCol w:w="158"/>
        <w:gridCol w:w="237"/>
        <w:gridCol w:w="119"/>
        <w:gridCol w:w="276"/>
        <w:gridCol w:w="80"/>
        <w:gridCol w:w="315"/>
        <w:gridCol w:w="43"/>
        <w:gridCol w:w="330"/>
        <w:gridCol w:w="45"/>
        <w:gridCol w:w="311"/>
        <w:gridCol w:w="84"/>
        <w:gridCol w:w="416"/>
        <w:gridCol w:w="13"/>
        <w:gridCol w:w="7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2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5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57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01" w:type="dxa"/>
            <w:gridSpan w:val="6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  <w:p>
            <w:pPr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Период</w:t>
            </w: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23" w:type="dxa"/>
            <w:gridSpan w:val="7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Контролор</w:t>
            </w:r>
          </w:p>
          <w:p>
            <w:pPr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5</w:t>
            </w:r>
          </w:p>
        </w:tc>
        <w:tc>
          <w:tcPr>
            <w:tcW w:w="323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323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255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28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4</w:t>
            </w:r>
          </w:p>
        </w:tc>
        <w:tc>
          <w:tcPr>
            <w:tcW w:w="32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9</w:t>
            </w:r>
          </w:p>
        </w:tc>
        <w:tc>
          <w:tcPr>
            <w:tcW w:w="32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411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3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9</w:t>
            </w:r>
          </w:p>
        </w:tc>
        <w:tc>
          <w:tcPr>
            <w:tcW w:w="255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5</w:t>
            </w:r>
          </w:p>
        </w:tc>
        <w:tc>
          <w:tcPr>
            <w:tcW w:w="4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418" w:type="dxa"/>
            <w:gridSpan w:val="3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402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7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8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8</w:t>
            </w:r>
          </w:p>
        </w:tc>
        <w:tc>
          <w:tcPr>
            <w:tcW w:w="418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9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429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2</w:t>
            </w:r>
          </w:p>
        </w:tc>
        <w:tc>
          <w:tcPr>
            <w:tcW w:w="766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gridSpan w:val="6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Вид работа</w:t>
            </w: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703" w:type="dxa"/>
            <w:gridSpan w:val="13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Идентификационен број</w:t>
            </w:r>
          </w:p>
          <w:p>
            <w:pPr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(ЕМБС)</w:t>
            </w: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6804" w:type="dxa"/>
            <w:gridSpan w:val="33"/>
            <w:tcBorders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Резервни кодекси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</w:tbl>
    <w:p>
      <w:pPr>
        <w:spacing w:line="100" w:lineRule="atLeast"/>
        <w:jc w:val="center"/>
      </w:pPr>
    </w:p>
    <w:p>
      <w:pPr>
        <w:ind w:left="4900" w:hanging="4900" w:hangingChars="2450"/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Назив на субјектот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         Ј</w:t>
      </w:r>
      <w:r>
        <w:rPr>
          <w:rFonts w:ascii="StobiSerif Regular" w:hAnsi="StobiSerif Regular" w:cs="StobiSerif Regular"/>
          <w:color w:val="000000"/>
          <w:sz w:val="20"/>
          <w:szCs w:val="20"/>
          <w:lang w:val="mk-MK"/>
        </w:rPr>
        <w:t>У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ЦЕНТАР ЗА СОЦИЈАЛНА РАБОТА-  едношалтерска</w:t>
      </w:r>
      <w:bookmarkStart w:id="0" w:name="_GoBack"/>
      <w:bookmarkEnd w:id="0"/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сметка</w:t>
      </w:r>
    </w:p>
    <w:p>
      <w:pP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Адреса, седиште и телефон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mk-MK"/>
        </w:rPr>
        <w:t>СТРАШО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ПИНЏУР 5 ВИНИЦА 360-305</w:t>
      </w:r>
    </w:p>
    <w:p>
      <w:pPr>
        <w:rPr>
          <w:rFonts w:ascii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Адреса за е-пошта</w:t>
      </w:r>
    </w:p>
    <w:p>
      <w:pPr>
        <w:spacing w:line="100" w:lineRule="atLeast"/>
        <w:jc w:val="both"/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Единствен даночен број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>4005981101665</w:t>
      </w: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  <w:p>
      <w:pPr>
        <w:spacing w:line="100" w:lineRule="atLeast"/>
        <w:jc w:val="center"/>
        <w:rPr>
          <w:rFonts w:hint="default" w:ascii="StobiSerif Regular" w:hAnsi="StobiSerif Regular" w:eastAsia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b/>
          <w:bCs/>
          <w:color w:val="000000"/>
          <w:sz w:val="20"/>
          <w:szCs w:val="20"/>
        </w:rPr>
        <w:t>ПОСЕБНИ ПОДАТОЦИ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2021</w:t>
      </w:r>
    </w:p>
    <w:p>
      <w:pPr>
        <w:spacing w:line="100" w:lineRule="atLeast"/>
        <w:jc w:val="both"/>
        <w:rPr>
          <w:rFonts w:ascii="StobiSerif Regular" w:hAnsi="StobiSerif Regular" w:eastAsia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</w:rPr>
        <w:t xml:space="preserve">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за државна евиденција за корисниците на средства </w:t>
      </w:r>
    </w:p>
    <w:p>
      <w:pPr>
        <w:spacing w:line="100" w:lineRule="atLeast"/>
        <w:jc w:val="both"/>
        <w:rPr>
          <w:rFonts w:ascii="StobiSerif Regular" w:hAnsi="StobiSerif Regular" w:eastAsia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</w:rPr>
        <w:t xml:space="preserve">             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од Буџетот на фондовите</w:t>
      </w:r>
    </w:p>
    <w:p>
      <w:pPr>
        <w:spacing w:line="100" w:lineRule="atLeast"/>
        <w:jc w:val="right"/>
        <w:rPr>
          <w:rFonts w:ascii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</w:rPr>
        <w:t xml:space="preserve">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(во денари)</w:t>
      </w:r>
    </w:p>
    <w:tbl>
      <w:tblPr>
        <w:tblStyle w:val="3"/>
        <w:tblW w:w="9833" w:type="dxa"/>
        <w:tblInd w:w="-4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055"/>
        <w:gridCol w:w="3315"/>
        <w:gridCol w:w="840"/>
        <w:gridCol w:w="1350"/>
        <w:gridCol w:w="15"/>
        <w:gridCol w:w="22"/>
        <w:gridCol w:w="1388"/>
        <w:gridCol w:w="90"/>
        <w:gridCol w:w="75"/>
        <w:gridCol w:w="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6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top w:val="single" w:color="000000" w:sz="0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tcBorders>
              <w:top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6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bCs/>
                <w:color w:val="000000"/>
                <w:sz w:val="20"/>
                <w:szCs w:val="20"/>
              </w:rPr>
              <w:t xml:space="preserve">А.НЕМАТЕРИЈАЛНИ СРЕДСТВА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основачки издатоци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основачки издатоци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основачки издатоци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основачки издатоци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издатоци во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26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 xml:space="preserve">Плата и надоместоци на плата на вработените кои директно работат на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26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>Трошоци за материјали и услуги</w:t>
            </w:r>
            <w:r>
              <w:rPr>
                <w:rStyle w:val="9"/>
                <w:rFonts w:ascii="StobiSerif Regular" w:hAnsi="StobiSerif Regular" w:eastAsia="Arial" w:cs="StobiSerif Regular"/>
                <w:b/>
                <w:bCs/>
                <w:color w:val="000000"/>
                <w:sz w:val="20"/>
                <w:lang w:val="mk-MK"/>
              </w:rPr>
              <w:footnoteReference w:id="0"/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 xml:space="preserve"> користени или потрошени при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6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Амортизација на недвижности, постројки и опрема користени при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6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 xml:space="preserve">Амортизација на патенти и лиценци  користени при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издатоци во истражување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издатоци во истражување и развој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издатоци за истражување и развој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</w:t>
            </w: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патенти, лиценци, концесии и други права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софтвер со лиценца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софтвер со лиценца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со лиценца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софтвер со лиценца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 на софтвер развиен за сопствена употреба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6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софтвер  развиен за сопствена употреба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 развиен за сопствена употреба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софтвер развиен за сопствена употреба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набавени бази на податоци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набавени бази на податоци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Акумулирана амортизација (исправка на вредноста) на набавени бази на податоци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набавени бази на податоци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бази на податоци  развиени за сопствена употреба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 бази на податоци  развиени  за сопствена употреба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други нематеријални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на други нематеријални права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други нематеријални права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Претходна година</w:t>
            </w:r>
          </w:p>
        </w:tc>
        <w:tc>
          <w:tcPr>
            <w:tcW w:w="138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нематеријални права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bCs/>
                <w:color w:val="000000"/>
                <w:sz w:val="20"/>
                <w:szCs w:val="20"/>
              </w:rPr>
              <w:t>Б.МАТЕРИЈАЛНИ ДОБРА И ПРИРОДНИ БОГАТСТВА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Земјиште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земјиште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земјиште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Шуми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шуми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шуми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материјалните добра и природните</w:t>
            </w:r>
          </w:p>
          <w:p>
            <w:pPr>
              <w:autoSpaceDE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богатства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b/>
                <w:bCs/>
                <w:color w:val="000000"/>
                <w:sz w:val="20"/>
                <w:szCs w:val="20"/>
              </w:rPr>
              <w:t xml:space="preserve">В.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>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информациска и телекомуникациска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9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1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(исправка на 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информациска и телекомуникациска опрема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компјутерска 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9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компјутерска опрема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(исправка на 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компјутерска опрема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компјутерска опрема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025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Набавна вредност на други 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652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49.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jc w:val="both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други 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653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>
            <w:pPr>
              <w:autoSpaceDE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материјални средства</w:t>
            </w:r>
          </w:p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120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Драгоцени метали и камења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Антиквитети и други уметнички дела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Други скапоцености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Г.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КРАТКОРОЧНИ ОБВРСКИ ЗА ПЛАТИ И ДРУГИ ОБВРСКИ СПРЕМА ВРАБОТЕНИТЕ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  <w:shd w:val="clear" w:color="auto" w:fill="FF000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плати и надомести на плати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нето плати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Надоместоци на нето плати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Даноци од плати и надомести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Придонеси од плати и надомести од плати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РАСХОДИ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 Комунални услуги, греење, комуникација и транспорт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Електрична енергија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Водовод и канализација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Пошта, телефон, телефакс и други трошоци за комуникација</w:t>
            </w:r>
          </w:p>
          <w:p>
            <w:pP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  <w:p>
            <w:pP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Горива и масла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Материјали и ситен инвентар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Униформи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Обувки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Прехранбени продукти и пијалаци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Лекови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 Договорни услуги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Провизија за платен промет и банкарска провизија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Консултантски услуги</w:t>
            </w:r>
          </w:p>
          <w:p>
            <w:pP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(Издатоци за авторски хонорари)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Осигурување на недвижности и права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autoSpaceDE w:val="0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 xml:space="preserve">Плаќања за здравствени организации од Министерството за здравство </w:t>
            </w:r>
          </w:p>
          <w:p>
            <w:pPr>
              <w:pStyle w:val="7"/>
              <w:autoSpaceDE w:val="0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autoSpaceDE w:val="0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Здравствени услуги во странство</w:t>
            </w:r>
          </w:p>
          <w:p>
            <w:pPr>
              <w:pStyle w:val="7"/>
              <w:autoSpaceDE w:val="0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 xml:space="preserve">IV.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Други тековни расходи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426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оперативни расходи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V.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 Разни трансфери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Државни награди и одликувања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при пензионирање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Социјални надоместоци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Еднократна парична помош и помош во натура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Детски додаток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040 од БПР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471д</w:t>
            </w:r>
          </w:p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Помош за здравствена заштита на растенија и животни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Исхрана за бездомници и други социјални лица</w:t>
            </w:r>
          </w:p>
          <w:p>
            <w:pPr>
              <w:pStyle w:val="7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>
            <w:pPr>
              <w:pStyle w:val="25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Ѓ. ПРИХОДИ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color w:val="000000"/>
                <w:sz w:val="20"/>
                <w:szCs w:val="20"/>
                <w:lang w:val="en-US"/>
              </w:rPr>
              <w:t>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Такси и надоместоци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Закупнини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079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color w:val="000000"/>
                <w:sz w:val="20"/>
                <w:szCs w:val="20"/>
                <w:lang w:val="en-US"/>
              </w:rPr>
              <w:t>II.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Трансфери од други нивоа на власт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Трансфери од Буџетот на Република Македонија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од буџетите на фондовите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</w:rPr>
              <w:t>Блок дотации на општината по одделни намени</w:t>
            </w:r>
          </w:p>
          <w:p>
            <w:pPr>
              <w:pStyle w:val="7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b/>
                <w:bCs/>
                <w:color w:val="000000"/>
                <w:sz w:val="20"/>
                <w:szCs w:val="20"/>
              </w:rPr>
              <w:t>Е. ПОСЕБНИ ПОДАТОЦИ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Просечен број на вработени врз основа на состојбата на крајот на месецот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</w:tbl>
    <w:p>
      <w:pPr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  <w:p>
      <w:pPr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  <w:p>
      <w:pPr>
        <w:ind w:left="720" w:firstLine="720"/>
        <w:rPr>
          <w:color w:val="000000"/>
          <w:sz w:val="20"/>
          <w:szCs w:val="20"/>
        </w:rPr>
      </w:pPr>
    </w:p>
    <w:tbl>
      <w:tblPr>
        <w:tblStyle w:val="3"/>
        <w:tblW w:w="0" w:type="auto"/>
        <w:tblInd w:w="1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4"/>
        <w:gridCol w:w="3880"/>
        <w:gridCol w:w="1117"/>
        <w:gridCol w:w="1872"/>
      </w:tblGrid>
      <w:tr>
        <w:trPr>
          <w:trHeight w:val="587" w:hRule="atLeast"/>
        </w:trPr>
        <w:tc>
          <w:tcPr>
            <w:tcW w:w="2884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</w:t>
            </w: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 xml:space="preserve">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ВИНИЦА</w:t>
            </w: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ден _____________</w:t>
            </w:r>
          </w:p>
        </w:tc>
        <w:tc>
          <w:tcPr>
            <w:tcW w:w="3880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Лице одговорно за составување на образецот</w:t>
            </w:r>
          </w:p>
        </w:tc>
        <w:tc>
          <w:tcPr>
            <w:tcW w:w="1117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1872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Одговорно лице</w:t>
            </w: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>
      <w:pPr>
        <w:spacing w:line="100" w:lineRule="atLeast"/>
        <w:jc w:val="both"/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  <w:lang w:val="en-US"/>
        </w:rPr>
        <w:t xml:space="preserve">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_________________________                         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 __________</w:t>
      </w: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  <w:lang w:val="en-US"/>
        </w:rPr>
      </w:pP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  <w:lang w:val="en-US"/>
        </w:rPr>
      </w:pP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  <w:lang w:val="en-US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  <w:t xml:space="preserve"> на ЦРМ и дата на приемот _______________________________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  <w:t>Контролата ја извршиле:  ________________________________________________________________</w:t>
            </w:r>
          </w:p>
        </w:tc>
      </w:tr>
    </w:tbl>
    <w:p/>
    <w:p>
      <w:pPr>
        <w:rPr>
          <w:color w:val="000000"/>
          <w:sz w:val="20"/>
          <w:szCs w:val="20"/>
        </w:rPr>
      </w:pPr>
    </w:p>
    <w:p>
      <w:pPr>
        <w:rPr>
          <w:color w:val="000000"/>
          <w:sz w:val="20"/>
          <w:szCs w:val="20"/>
        </w:rPr>
      </w:pPr>
    </w:p>
    <w:p/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tobiSerif Regular">
    <w:altName w:val="Yu Gothic"/>
    <w:panose1 w:val="00000000000000000000"/>
    <w:charset w:val="80"/>
    <w:family w:val="modern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jc w:val="both"/>
      </w:pPr>
      <w:r>
        <w:rPr>
          <w:rStyle w:val="21"/>
          <w:rFonts w:ascii="StobiSerif Regular" w:hAnsi="StobiSerif Regular"/>
        </w:rPr>
        <w:footnoteRef/>
      </w:r>
      <w:r>
        <w:rPr>
          <w:rFonts w:ascii="StobiSerif Regular" w:hAnsi="StobiSerif Regular" w:eastAsia="Arial" w:cs="StobiSerif Regular"/>
          <w:color w:val="000000"/>
          <w:sz w:val="18"/>
          <w:szCs w:val="18"/>
        </w:rPr>
        <w:tab/>
      </w:r>
      <w:r>
        <w:rPr>
          <w:rFonts w:ascii="StobiSerif Regular" w:hAnsi="StobiSerif Regular" w:eastAsia="Arial" w:cs="StobiSerif Regular"/>
          <w:color w:val="000000"/>
          <w:sz w:val="18"/>
          <w:szCs w:val="18"/>
        </w:rPr>
        <w:t xml:space="preserve"> T</w:t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рошоци за суровини и материјал, трошоци за енергија, трошоци за ситен инвентар, трошоци за амбалажа,  трошоци за резервни делови и материјали за одржување на објектите и опремата, интелектуални услуги и други услуги кои се услов за </w:t>
      </w:r>
      <w:r>
        <w:rPr>
          <w:rFonts w:ascii="StobiSerif Regular" w:hAnsi="StobiSerif Regular" w:eastAsia="Arial" w:cs="StobiSerif Regular"/>
          <w:color w:val="000000"/>
          <w:sz w:val="18"/>
          <w:szCs w:val="18"/>
        </w:rPr>
        <w:t>истражувањето и развојот за сопствени цели.</w:t>
      </w:r>
    </w:p>
  </w:footnote>
  <w:footnote w:id="1">
    <w:p>
      <w:pPr>
        <w:pStyle w:val="5"/>
        <w:spacing w:after="0" w:line="240" w:lineRule="auto"/>
        <w:jc w:val="both"/>
      </w:pPr>
      <w:r>
        <w:rPr>
          <w:rStyle w:val="21"/>
          <w:rFonts w:ascii="StobiSerif Regular" w:hAnsi="StobiSerif Regular"/>
        </w:rPr>
        <w:footnoteRef/>
      </w:r>
      <w:r>
        <w:rPr>
          <w:rFonts w:ascii="StobiSerif Regular" w:hAnsi="StobiSerif Regular" w:cs="StobiSerif Regular"/>
          <w:color w:val="000000"/>
          <w:sz w:val="18"/>
          <w:szCs w:val="18"/>
        </w:rPr>
        <w:tab/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 Уреди со електронска контрола, како и електронски компоненти кои претставуваат дел од овие уреди (радио, телевизиска и комуникациона опрема и апарати)</w:t>
      </w:r>
      <w:r>
        <w:rPr>
          <w:rFonts w:ascii="StobiSerif Regular" w:hAnsi="StobiSerif Regular" w:eastAsia="StobiSerif Regular" w:cs="StobiSerif Regular"/>
          <w:color w:val="000000"/>
          <w:sz w:val="18"/>
          <w:szCs w:val="18"/>
        </w:rPr>
        <w:t>.</w:t>
      </w:r>
    </w:p>
  </w:footnote>
  <w:footnote w:id="2"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  <w:r>
        <w:rPr>
          <w:rStyle w:val="21"/>
          <w:rFonts w:ascii="StobiSerif Regular" w:hAnsi="StobiSerif Regular"/>
        </w:rPr>
        <w:footnoteRef/>
      </w:r>
      <w:r>
        <w:rPr>
          <w:rFonts w:ascii="StobiSerif Regular" w:hAnsi="StobiSerif Regular" w:eastAsia="StobiSerif Regular" w:cs="StobiSerif Regular"/>
          <w:color w:val="000000"/>
          <w:sz w:val="18"/>
          <w:szCs w:val="18"/>
        </w:rPr>
        <w:tab/>
      </w:r>
      <w:r>
        <w:rPr>
          <w:rFonts w:ascii="StobiSerif Regular" w:hAnsi="StobiSerif Regular" w:eastAsia="StobiSerif Regular" w:cs="StobiSerif Regular"/>
          <w:color w:val="000000"/>
          <w:sz w:val="18"/>
          <w:szCs w:val="18"/>
        </w:rPr>
        <w:t xml:space="preserve"> Хардвер и периферни единици, машини за обработка на податоци, печатари, скенери и слично. </w:t>
      </w:r>
    </w:p>
    <w:p>
      <w:pPr>
        <w:spacing w:line="100" w:lineRule="atLeast"/>
        <w:ind w:left="720" w:firstLine="720"/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footnote w:id="6"/>
    <w:footnote w:id="7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A"/>
    <w:rsid w:val="00132C6A"/>
    <w:rsid w:val="005038B1"/>
    <w:rsid w:val="08E32481"/>
    <w:rsid w:val="0EFE7C00"/>
    <w:rsid w:val="639C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mk-MK" w:eastAsia="zh-CN" w:bidi="hi-IN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paragraph" w:styleId="6">
    <w:name w:val="caption"/>
    <w:basedOn w:val="1"/>
    <w:next w:val="1"/>
    <w:qFormat/>
    <w:uiPriority w:val="0"/>
    <w:pPr>
      <w:suppressLineNumbers/>
      <w:spacing w:before="120" w:after="120"/>
    </w:pPr>
    <w:rPr>
      <w:i/>
      <w:iCs/>
    </w:rPr>
  </w:style>
  <w:style w:type="paragraph" w:styleId="7">
    <w:name w:val="annotation text"/>
    <w:basedOn w:val="1"/>
    <w:qFormat/>
    <w:uiPriority w:val="0"/>
    <w:rPr>
      <w:sz w:val="20"/>
      <w:szCs w:val="20"/>
    </w:rPr>
  </w:style>
  <w:style w:type="character" w:styleId="8">
    <w:name w:val="endnote reference"/>
    <w:qFormat/>
    <w:uiPriority w:val="0"/>
    <w:rPr>
      <w:vertAlign w:val="superscript"/>
    </w:rPr>
  </w:style>
  <w:style w:type="character" w:styleId="9">
    <w:name w:val="footnote reference"/>
    <w:qFormat/>
    <w:uiPriority w:val="0"/>
    <w:rPr>
      <w:vertAlign w:val="superscript"/>
    </w:rPr>
  </w:style>
  <w:style w:type="paragraph" w:styleId="10">
    <w:name w:val="footnote text"/>
    <w:basedOn w:val="1"/>
    <w:qFormat/>
    <w:uiPriority w:val="0"/>
    <w:pPr>
      <w:suppressLineNumbers/>
      <w:ind w:left="339" w:hanging="339"/>
    </w:pPr>
    <w:rPr>
      <w:sz w:val="20"/>
      <w:szCs w:val="20"/>
    </w:rPr>
  </w:style>
  <w:style w:type="paragraph" w:styleId="11">
    <w:name w:val="List"/>
    <w:basedOn w:val="4"/>
    <w:qFormat/>
    <w:uiPriority w:val="0"/>
  </w:style>
  <w:style w:type="character" w:customStyle="1" w:styleId="12">
    <w:name w:val="Absatz-Standardschriftart"/>
    <w:qFormat/>
    <w:uiPriority w:val="0"/>
  </w:style>
  <w:style w:type="character" w:customStyle="1" w:styleId="13">
    <w:name w:val="WW-Absatz-Standardschriftart"/>
    <w:qFormat/>
    <w:uiPriority w:val="0"/>
  </w:style>
  <w:style w:type="character" w:customStyle="1" w:styleId="14">
    <w:name w:val="WW-Absatz-Standardschriftart1"/>
    <w:uiPriority w:val="0"/>
  </w:style>
  <w:style w:type="character" w:customStyle="1" w:styleId="15">
    <w:name w:val="WW-Absatz-Standardschriftart11"/>
    <w:qFormat/>
    <w:uiPriority w:val="0"/>
  </w:style>
  <w:style w:type="character" w:customStyle="1" w:styleId="16">
    <w:name w:val="WW-Absatz-Standardschriftart111"/>
    <w:qFormat/>
    <w:uiPriority w:val="0"/>
  </w:style>
  <w:style w:type="character" w:customStyle="1" w:styleId="17">
    <w:name w:val="WW-Absatz-Standardschriftart1111"/>
    <w:qFormat/>
    <w:uiPriority w:val="0"/>
  </w:style>
  <w:style w:type="character" w:customStyle="1" w:styleId="18">
    <w:name w:val="WW-Absatz-Standardschriftart11111"/>
    <w:qFormat/>
    <w:uiPriority w:val="0"/>
  </w:style>
  <w:style w:type="character" w:customStyle="1" w:styleId="19">
    <w:name w:val="WW-Absatz-Standardschriftart111111"/>
    <w:qFormat/>
    <w:uiPriority w:val="0"/>
  </w:style>
  <w:style w:type="character" w:customStyle="1" w:styleId="20">
    <w:name w:val="WW-Absatz-Standardschriftart1111111"/>
    <w:qFormat/>
    <w:uiPriority w:val="0"/>
  </w:style>
  <w:style w:type="character" w:customStyle="1" w:styleId="21">
    <w:name w:val="Footnote Characters"/>
    <w:qFormat/>
    <w:uiPriority w:val="0"/>
  </w:style>
  <w:style w:type="character" w:customStyle="1" w:styleId="22">
    <w:name w:val="Endnote Characters"/>
    <w:qFormat/>
    <w:uiPriority w:val="0"/>
  </w:style>
  <w:style w:type="paragraph" w:customStyle="1" w:styleId="23">
    <w:name w:val="Heading"/>
    <w:basedOn w:val="1"/>
    <w:next w:val="4"/>
    <w:uiPriority w:val="0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customStyle="1" w:styleId="24">
    <w:name w:val="Index"/>
    <w:basedOn w:val="1"/>
    <w:uiPriority w:val="0"/>
    <w:pPr>
      <w:suppressLineNumbers/>
    </w:pPr>
  </w:style>
  <w:style w:type="paragraph" w:customStyle="1" w:styleId="25">
    <w:name w:val="Table Contents"/>
    <w:basedOn w:val="1"/>
    <w:qFormat/>
    <w:uiPriority w:val="0"/>
    <w:pPr>
      <w:suppressLineNumbers/>
    </w:pPr>
  </w:style>
  <w:style w:type="paragraph" w:customStyle="1" w:styleId="26">
    <w:name w:val="IASB Normal"/>
    <w:qFormat/>
    <w:uiPriority w:val="0"/>
    <w:pPr>
      <w:suppressAutoHyphens/>
      <w:spacing w:before="100" w:after="100"/>
      <w:jc w:val="both"/>
    </w:pPr>
    <w:rPr>
      <w:rFonts w:ascii="Times New Roman" w:hAnsi="Times New Roman" w:eastAsia="Times New Roman" w:cs="Times New Roman"/>
      <w:kern w:val="1"/>
      <w:sz w:val="19"/>
      <w:lang w:val="en-US" w:eastAsia="zh-CN" w:bidi="ar-SA"/>
    </w:rPr>
  </w:style>
  <w:style w:type="paragraph" w:customStyle="1" w:styleId="27">
    <w:name w:val="Table Heading"/>
    <w:basedOn w:val="25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11</Pages>
  <Words>1488</Words>
  <Characters>8486</Characters>
  <Lines>70</Lines>
  <Paragraphs>19</Paragraphs>
  <TotalTime>29</TotalTime>
  <ScaleCrop>false</ScaleCrop>
  <LinksUpToDate>false</LinksUpToDate>
  <CharactersWithSpaces>9955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2015-01-26T10:48:00Z</dcterms:created>
  <dc:creator>LOffice User</dc:creator>
  <cp:lastModifiedBy>Lenovo</cp:lastModifiedBy>
  <cp:lastPrinted>2022-02-10T11:11:00Z</cp:lastPrinted>
  <dcterms:modified xsi:type="dcterms:W3CDTF">2022-02-16T08:12:50Z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777FAC2270DE498F88905E9C955EF721</vt:lpwstr>
  </property>
</Properties>
</file>